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職場環境等要件に関する取組</w:t>
      </w:r>
    </w:p>
    <w:p>
      <w:pPr>
        <w:pStyle w:val="Note"/>
      </w:pPr>
      <w:r>
        <w:t xml:space="preserve">エム・オーヒューマンサービス株式会社｜ホームページ案 原稿確認用（work-environment.html）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福祉・介護職員の職場環境等要件に関する、当社の取り組みです。</w:t>
      </w:r>
    </w:p>
    <w:p>
      <w:pPr>
        <w:pStyle w:val="Heading2"/>
      </w:pPr>
      <w:r>
        <w:t xml:space="preserve">取組内容</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入職促進に向けた取組</w:t>
            </w:r>
          </w:p>
        </w:tc>
        <w:tc>
          <w:tcPr>
            <w:tcW w:w="6300" w:type="dxa"/>
          </w:tcPr>
          <w:p>
            <w:pPr>
              <w:pStyle w:val="TableText"/>
            </w:pPr>
            <w:r>
              <w:t xml:space="preserve">法人や事業所の経営理念・人材育成方針と、その実現のための施策・仕組みの明確化／事業所の共同による採用・人事ローテーション・研修のための制度構築／職場体験の受入れや地域行事への参加・主催などによる職業魅力向上の取組</w:t>
            </w:r>
          </w:p>
        </w:tc>
      </w:tr>
      <w:tr>
        <w:tc>
          <w:tcPr>
            <w:tcW w:w="2700" w:type="dxa"/>
            <w:shd w:val="clear" w:color="auto" w:fill="F3EFEC"/>
          </w:tcPr>
          <w:p>
            <w:pPr>
              <w:pStyle w:val="TableText"/>
            </w:pPr>
            <w:r>
              <w:rPr>
                <w:b/>
              </w:rPr>
              <w:t xml:space="preserve">資質の向上やキャリアアップに向けた支援</w:t>
            </w:r>
          </w:p>
        </w:tc>
        <w:tc>
          <w:tcPr>
            <w:tcW w:w="6300" w:type="dxa"/>
          </w:tcPr>
          <w:p>
            <w:pPr>
              <w:pStyle w:val="TableText"/>
            </w:pPr>
            <w:r>
              <w:t xml:space="preserve">研修の受講やキャリア段位制度と人事考課との連動によるキャリアサポート制度等の導入／上位者・担当者等によるキャリア面談など、定期的な相談の機会の確保</w:t>
            </w:r>
          </w:p>
        </w:tc>
      </w:tr>
      <w:tr>
        <w:tc>
          <w:tcPr>
            <w:tcW w:w="2700" w:type="dxa"/>
            <w:shd w:val="clear" w:color="auto" w:fill="F3EFEC"/>
          </w:tcPr>
          <w:p>
            <w:pPr>
              <w:pStyle w:val="TableText"/>
            </w:pPr>
            <w:r>
              <w:rPr>
                <w:b/>
              </w:rPr>
              <w:t xml:space="preserve">両立支援・多様な働き方の推進</w:t>
            </w:r>
          </w:p>
        </w:tc>
        <w:tc>
          <w:tcPr>
            <w:tcW w:w="6300" w:type="dxa"/>
          </w:tcPr>
          <w:p>
            <w:pPr>
              <w:pStyle w:val="TableText"/>
            </w:pPr>
            <w:r>
              <w:t xml:space="preserve">職員の事情等に応じた勤務シフトや短時間正規職員制度の導入、職員の希望に即した非正規職員から正規職員への転換の制度等の整備</w:t>
            </w:r>
          </w:p>
        </w:tc>
      </w:tr>
      <w:tr>
        <w:tc>
          <w:tcPr>
            <w:tcW w:w="2700" w:type="dxa"/>
            <w:shd w:val="clear" w:color="auto" w:fill="F3EFEC"/>
          </w:tcPr>
          <w:p>
            <w:pPr>
              <w:pStyle w:val="TableText"/>
            </w:pPr>
            <w:r>
              <w:rPr>
                <w:b/>
              </w:rPr>
              <w:t xml:space="preserve">腰痛を含む心身の健康管理</w:t>
            </w:r>
          </w:p>
        </w:tc>
        <w:tc>
          <w:tcPr>
            <w:tcW w:w="6300" w:type="dxa"/>
          </w:tcPr>
          <w:p>
            <w:pPr>
              <w:pStyle w:val="TableText"/>
            </w:pPr>
            <w:r>
              <w:t xml:space="preserve">事故・トラブルへの対応マニュアル等の作成等の体制の整備</w:t>
            </w:r>
          </w:p>
        </w:tc>
      </w:tr>
      <w:tr>
        <w:tc>
          <w:tcPr>
            <w:tcW w:w="2700" w:type="dxa"/>
            <w:shd w:val="clear" w:color="auto" w:fill="F3EFEC"/>
          </w:tcPr>
          <w:p>
            <w:pPr>
              <w:pStyle w:val="TableText"/>
            </w:pPr>
            <w:r>
              <w:rPr>
                <w:b/>
              </w:rPr>
              <w:t xml:space="preserve">生産性向上のための取組</w:t>
            </w:r>
          </w:p>
        </w:tc>
        <w:tc>
          <w:tcPr>
            <w:tcW w:w="6300" w:type="dxa"/>
          </w:tcPr>
          <w:p>
            <w:pPr>
              <w:pStyle w:val="TableText"/>
            </w:pPr>
            <w:r>
              <w:t xml:space="preserve">業務支援ソフト・情報端末（タブレット端末、スマートフォン端末等）の導入／業務内容の明確化と役割分担による、福祉・介護職員が支援に集中できる環境の整備</w:t>
            </w:r>
          </w:p>
        </w:tc>
      </w:tr>
      <w:tr>
        <w:tc>
          <w:tcPr>
            <w:tcW w:w="2700" w:type="dxa"/>
            <w:shd w:val="clear" w:color="auto" w:fill="F3EFEC"/>
          </w:tcPr>
          <w:p>
            <w:pPr>
              <w:pStyle w:val="TableText"/>
            </w:pPr>
            <w:r>
              <w:rPr>
                <w:b/>
              </w:rPr>
              <w:t xml:space="preserve">やりがい・働きがいの醸成</w:t>
            </w:r>
          </w:p>
        </w:tc>
        <w:tc>
          <w:tcPr>
            <w:tcW w:w="6300" w:type="dxa"/>
          </w:tcPr>
          <w:p>
            <w:pPr>
              <w:pStyle w:val="TableText"/>
            </w:pPr>
            <w:r>
              <w:t xml:space="preserve">ミーティング等による職場内コミュニケーションの円滑化による、個々の職員の気づきを踏まえた勤務環境や支援内容の改善</w:t>
            </w:r>
          </w:p>
        </w:tc>
      </w:tr>
    </w:tbl>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3A7D2C"/>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3A7D2C"/>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